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contextualSpacing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</w:t>
      </w:r>
      <w:r>
        <w:rPr>
          <w:rFonts w:hint="eastAsia" w:ascii="仿宋_GB2312" w:hAnsi="宋体" w:eastAsia="仿宋_GB2312"/>
          <w:b/>
          <w:sz w:val="24"/>
        </w:rPr>
        <w:t>辅修学位（专业）课程设置</w:t>
      </w:r>
    </w:p>
    <w:p>
      <w:pPr>
        <w:adjustRightInd w:val="0"/>
        <w:snapToGrid w:val="0"/>
        <w:spacing w:line="480" w:lineRule="exact"/>
        <w:ind w:firstLine="482" w:firstLineChars="200"/>
        <w:contextualSpacing/>
        <w:rPr>
          <w:rFonts w:cs="黑体" w:asciiTheme="minorEastAsia" w:hAnsiTheme="minorEastAsia" w:eastAsiaTheme="minorEastAsia"/>
          <w:b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b/>
          <w:color w:val="000000"/>
          <w:sz w:val="24"/>
        </w:rPr>
        <w:t>辅修学位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1. 修读条件：本校非管理学学科门类的学生，所修课程加权平均成绩不低于70分。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int="eastAsia" w:cs="黑体" w:asciiTheme="minorEastAsia" w:hAnsiTheme="minorEastAsia" w:eastAsiaTheme="minorEastAsia"/>
          <w:color w:val="000000"/>
          <w:sz w:val="24"/>
        </w:rPr>
        <w:t>辅修学士学位在主修学士学位证书中予以注明，不单独发放辅修学士学位证书。辅修学士学位授予条件如下：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a. 获得主修专业学士学位；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b. 辅修学士学位全部课程成绩合格，取得规定的学分，且课程加权平均成绩不低于70分；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c. 符合《江西财经大学全日制普通本科毕业生学士学位授予工作实施细则（修订）》（江财教务字〔2010〕6号）规定的外语、毕业论文等其它条件。</w:t>
      </w:r>
    </w:p>
    <w:p>
      <w:pPr>
        <w:adjustRightInd w:val="0"/>
        <w:snapToGrid w:val="0"/>
        <w:spacing w:line="480" w:lineRule="exact"/>
        <w:ind w:firstLine="482" w:firstLineChars="200"/>
        <w:contextualSpacing/>
        <w:rPr>
          <w:rFonts w:cs="黑体" w:asciiTheme="minorEastAsia" w:hAnsiTheme="minorEastAsia" w:eastAsiaTheme="minorEastAsia"/>
          <w:b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b/>
          <w:color w:val="000000"/>
          <w:sz w:val="24"/>
        </w:rPr>
        <w:t>辅修专业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cs="黑体" w:asciiTheme="minorEastAsia" w:hAnsiTheme="minorEastAsia" w:eastAsiaTheme="minorEastAsia"/>
          <w:color w:val="000000"/>
          <w:sz w:val="24"/>
        </w:rPr>
        <w:t>1. 修读条件：本校管理学学科门类非物流管理专业的学生，所修课程加权平均成绩不低于70分。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2. 辅修专业证书与主修专业学历证书配合使用，不单独作为学历证书使用。辅修专业证书授予条件如下：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a. 取得主修专业毕业证书；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hint="eastAsia"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b. 辅修专业全部课程成绩合格，取得规定的学分。</w:t>
      </w:r>
    </w:p>
    <w:p>
      <w:pPr>
        <w:adjustRightInd w:val="0"/>
        <w:snapToGrid w:val="0"/>
        <w:spacing w:line="480" w:lineRule="exact"/>
        <w:ind w:firstLine="480" w:firstLineChars="200"/>
        <w:contextualSpacing/>
        <w:rPr>
          <w:rFonts w:cs="黑体" w:asciiTheme="minorEastAsia" w:hAnsiTheme="minorEastAsia" w:eastAsiaTheme="minorEastAsia"/>
          <w:color w:val="000000"/>
          <w:sz w:val="24"/>
        </w:rPr>
      </w:pPr>
      <w:r>
        <w:rPr>
          <w:rFonts w:hint="eastAsia" w:cs="黑体" w:asciiTheme="minorEastAsia" w:hAnsiTheme="minorEastAsia" w:eastAsiaTheme="minorEastAsia"/>
          <w:color w:val="000000"/>
          <w:sz w:val="24"/>
        </w:rPr>
        <w:t>相关课程设置如表</w:t>
      </w:r>
      <w:r>
        <w:rPr>
          <w:rFonts w:eastAsiaTheme="minorEastAsia"/>
          <w:color w:val="000000"/>
          <w:sz w:val="24"/>
        </w:rPr>
        <w:t>7</w:t>
      </w:r>
      <w:r>
        <w:rPr>
          <w:rFonts w:hint="eastAsia" w:cs="黑体" w:asciiTheme="minorEastAsia" w:hAnsiTheme="minorEastAsia" w:eastAsiaTheme="minorEastAsia"/>
          <w:color w:val="000000"/>
          <w:sz w:val="24"/>
        </w:rPr>
        <w:t>所示。</w:t>
      </w:r>
    </w:p>
    <w:p>
      <w:pPr>
        <w:spacing w:line="480" w:lineRule="exact"/>
        <w:contextualSpacing/>
        <w:jc w:val="center"/>
        <w:rPr>
          <w:rFonts w:eastAsia="黑体" w:cs="黑体"/>
        </w:rPr>
      </w:pPr>
      <w:r>
        <w:rPr>
          <w:rFonts w:hint="eastAsia" w:eastAsia="黑体" w:cs="黑体"/>
        </w:rPr>
        <w:t>表7</w:t>
      </w:r>
      <w:r>
        <w:rPr>
          <w:rFonts w:eastAsia="黑体" w:cs="黑体"/>
        </w:rPr>
        <w:t>.</w:t>
      </w:r>
      <w:r>
        <w:rPr>
          <w:rFonts w:hint="eastAsia" w:eastAsia="黑体" w:cs="黑体"/>
        </w:rPr>
        <w:t xml:space="preserve">  “物流管理（智慧供应链）专业”辅修学位（专业）课程设置表</w:t>
      </w:r>
    </w:p>
    <w:p>
      <w:pPr>
        <w:spacing w:afterLines="50" w:line="480" w:lineRule="exact"/>
        <w:contextualSpacing/>
        <w:rPr>
          <w:szCs w:val="21"/>
        </w:rPr>
      </w:pPr>
      <w:r>
        <w:rPr>
          <w:rFonts w:hint="eastAsia"/>
          <w:szCs w:val="21"/>
        </w:rPr>
        <w:t>学　院：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工商管理学院　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专业名称：物流管理（智慧供应链）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　学位：管理学学士</w:t>
      </w:r>
      <w:r>
        <w:rPr>
          <w:szCs w:val="21"/>
        </w:rPr>
        <w:t xml:space="preserve"> </w:t>
      </w:r>
    </w:p>
    <w:tbl>
      <w:tblPr>
        <w:tblStyle w:val="4"/>
        <w:tblW w:w="8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857"/>
        <w:gridCol w:w="708"/>
        <w:gridCol w:w="695"/>
        <w:gridCol w:w="1134"/>
        <w:gridCol w:w="1409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80" w:lineRule="exact"/>
              <w:ind w:left="221" w:right="215"/>
              <w:contextualSpacing/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kern w:val="2"/>
                <w:sz w:val="18"/>
                <w:lang w:eastAsia="zh-CN"/>
              </w:rPr>
              <w:t>课程</w:t>
            </w:r>
          </w:p>
          <w:p>
            <w:pPr>
              <w:pStyle w:val="8"/>
              <w:spacing w:line="480" w:lineRule="exact"/>
              <w:ind w:left="221" w:right="215"/>
              <w:contextualSpacing/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kern w:val="2"/>
                <w:sz w:val="18"/>
                <w:lang w:eastAsia="zh-CN"/>
              </w:rPr>
              <w:t>代码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学分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课</w:t>
            </w:r>
          </w:p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开课</w:t>
            </w:r>
          </w:p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学期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先修课程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1004501303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管理学原理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无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1004502413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人力资源管理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right"/>
              <w:rPr>
                <w:kern w:val="0"/>
                <w:sz w:val="18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管理学原理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1004503033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市场营销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right"/>
              <w:rPr>
                <w:kern w:val="0"/>
                <w:sz w:val="18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管理学原理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1004505373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hint="eastAsia"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运营管理（工商）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right"/>
              <w:rPr>
                <w:kern w:val="0"/>
                <w:sz w:val="18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管理学原理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1004503663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物流学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无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1004505202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数字化采购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  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1004505212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智慧供应链管理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1004500272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仓储运营管理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1004504451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运输管理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1004505262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智慧供应链金融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1004501502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国际物流与货运代理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1004503562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物流系统分析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425"/>
              <w:contextualSpacing/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1004503402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contextualSpacing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hint="eastAsia" w:ascii="Calibri" w:hAnsi="Calibri"/>
                <w:sz w:val="18"/>
                <w:szCs w:val="22"/>
              </w:rPr>
              <w:t>物流成本管理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18"/>
              </w:rPr>
              <w:t>物流学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80" w:lineRule="exact"/>
              <w:ind w:left="221" w:right="215"/>
              <w:contextualSpacing/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kern w:val="2"/>
                <w:sz w:val="18"/>
                <w:lang w:eastAsia="zh-CN"/>
              </w:rPr>
              <w:t>小计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80" w:lineRule="exact"/>
              <w:ind w:left="221" w:right="215"/>
              <w:contextualSpacing/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毕业论文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80" w:lineRule="exact"/>
              <w:ind w:left="221" w:right="215"/>
              <w:contextualSpacing/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合</w:t>
            </w:r>
            <w:r>
              <w:rPr>
                <w:kern w:val="2"/>
                <w:sz w:val="18"/>
              </w:rPr>
              <w:t xml:space="preserve">  </w:t>
            </w:r>
            <w:r>
              <w:rPr>
                <w:rFonts w:hint="eastAsia"/>
                <w:kern w:val="2"/>
                <w:sz w:val="18"/>
              </w:rPr>
              <w:t>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36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right="215"/>
              <w:contextualSpacing/>
              <w:jc w:val="center"/>
              <w:rPr>
                <w:kern w:val="0"/>
                <w:sz w:val="18"/>
                <w:lang w:eastAsia="en-US"/>
              </w:rPr>
            </w:pPr>
          </w:p>
        </w:tc>
      </w:tr>
    </w:tbl>
    <w:p>
      <w:pPr>
        <w:spacing w:afterLines="50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备注：标</w:t>
      </w:r>
      <w:r>
        <w:rPr>
          <w:rFonts w:hint="eastAsia"/>
          <w:color w:val="000000"/>
          <w:kern w:val="0"/>
          <w:sz w:val="18"/>
        </w:rPr>
        <w:t>★</w:t>
      </w:r>
      <w:r>
        <w:rPr>
          <w:rFonts w:hint="eastAsia"/>
          <w:color w:val="000000"/>
          <w:szCs w:val="21"/>
        </w:rPr>
        <w:t>的为辅修专业课程，共计10门，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3学分。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208"/>
    <w:rsid w:val="000D5EFA"/>
    <w:rsid w:val="003B3609"/>
    <w:rsid w:val="004930E9"/>
    <w:rsid w:val="00650196"/>
    <w:rsid w:val="00873DD6"/>
    <w:rsid w:val="008A7169"/>
    <w:rsid w:val="008F2208"/>
    <w:rsid w:val="009C4391"/>
    <w:rsid w:val="00A83917"/>
    <w:rsid w:val="00BA2D27"/>
    <w:rsid w:val="00BB498B"/>
    <w:rsid w:val="00C31310"/>
    <w:rsid w:val="00C91AF1"/>
    <w:rsid w:val="00D606E3"/>
    <w:rsid w:val="00EC3AE3"/>
    <w:rsid w:val="00EC43F2"/>
    <w:rsid w:val="37C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99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JXUFE</Company>
  <Pages>2</Pages>
  <Words>147</Words>
  <Characters>839</Characters>
  <Lines>6</Lines>
  <Paragraphs>1</Paragraphs>
  <TotalTime>93</TotalTime>
  <ScaleCrop>false</ScaleCrop>
  <LinksUpToDate>false</LinksUpToDate>
  <CharactersWithSpaces>985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2021-04-21T07:37:00Z</dcterms:created>
  <dc:creator>ZS</dc:creator>
  <cp:lastModifiedBy>hp</cp:lastModifiedBy>
  <dcterms:modified xsi:type="dcterms:W3CDTF">2021-04-23T02:57:39Z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067A7404DD1045BC8A17DE45D4B1DC9D</vt:lpwstr>
  </property>
</Properties>
</file>